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0C" w:rsidRDefault="00D0560C" w:rsidP="00D0560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10 ноября 2021 г. N 65743</w:t>
      </w:r>
    </w:p>
    <w:p w:rsidR="00D0560C" w:rsidRDefault="00D0560C" w:rsidP="00D0560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8 октября 2021 г. N 707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ПРИКАЗ МИНИСТЕРСТВА ПРОСВЕЩЕНИЯ РОССИЙСКОЙ ФЕДЕРАЦИИ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 СЕНТЯБРЯ 2020 Г. N 458 "ОБ УТВЕРЖДЕНИИ ПОРЯДКА ПРИЕМА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НАЧАЛЬНОГО ОБЩЕГО,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ОСНОВНОГО ОБЩЕГО И СРЕДНЕГО ОБЩЕГО ОБРАЗОВАНИЯ"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2021, N 13, ст. 2137),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4.2.21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  <w:proofErr w:type="gramEnd"/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которые вносятся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 сентября 2020 г. N 458 "Об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59783).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2022 г. и действует до 1 марта 2026 года.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С.С.КРАВЦОВ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8 октября 2021 г. N 707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КОТОРЫЕ ВНОСЯТСЯ В ПРИКАЗ МИНИСТЕРСТВА ПРОСВЕЩЕНИЯ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ОТ 2 СЕНТЯБРЯ 2020 Г. N 458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"ОБ УТВЕРЖДЕНИИ ПОРЯДКА ПРИЕМА НА ОБУЧЕНИЕ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НАЧАЛЬНОГО ОБЩЕГО,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ОСНОВНОГО ОБЩЕГО И СРЕДНЕГО ОБЩЕГО ОБРАЗОВАНИЯ"</w:t>
      </w: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60C" w:rsidRDefault="00D0560C" w:rsidP="00D056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 сентября 2020 г. N 458 "Об утверждении Порядка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N 59783) дополнить пунктом 3 следующего содержания: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 Настоящий приказ действует до 1 марта 2026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утвержденном указанным приказом: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пункта 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"муниципального района" дополнить словами ", муниципального округа";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"муниципального района (городского округа)" заменить словами "муниципального района (муниципального округа, городского округа)";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 первый 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"12. Ребенок имеет право преимущественного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 &lt;16&gt;.";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"26. Для приема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свидетельства о рождении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 и (или) сестра);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sz w:val="24"/>
          <w:szCs w:val="24"/>
        </w:rPr>
        <w:t>и) (законный(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D0560C" w:rsidRDefault="00D0560C" w:rsidP="00D0560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672319" w:rsidRDefault="00672319"/>
    <w:sectPr w:rsidR="00672319" w:rsidSect="000B37B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60C"/>
    <w:rsid w:val="00672319"/>
    <w:rsid w:val="00D0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BF20389655B042A9028C84D2C6ED57D28FF728B064A15F7A632E26FFF8DAABA5434F85BC249CCB8B79978B1s3tEN" TargetMode="External"/><Relationship Id="rId13" Type="http://schemas.openxmlformats.org/officeDocument/2006/relationships/hyperlink" Target="consultantplus://offline/ref=557BF20389655B042A9028C84D2C6ED57D28FF728B064A15F7A632E26FFF8DAAA8546CF45BC356CEB3A2CF29F76942EAD7A0E14CF20F1BD2s2t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7BF20389655B042A9028C84D2C6ED57D28FF728B064A15F7A632E26FFF8DAABA5434F85BC249CCB8B79978B1s3tEN" TargetMode="External"/><Relationship Id="rId12" Type="http://schemas.openxmlformats.org/officeDocument/2006/relationships/hyperlink" Target="consultantplus://offline/ref=557BF20389655B042A9028C84D2C6ED57D28FF728B064A15F7A632E26FFF8DAAA8546CF45BC357CAB9A2CF29F76942EAD7A0E14CF20F1BD2s2t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BF20389655B042A9028C84D2C6ED57A2EFC7388074A15F7A632E26FFF8DAAA8546CF45BC357C8B9A2CF29F76942EAD7A0E14CF20F1BD2s2t2N" TargetMode="External"/><Relationship Id="rId11" Type="http://schemas.openxmlformats.org/officeDocument/2006/relationships/hyperlink" Target="consultantplus://offline/ref=557BF20389655B042A9028C84D2C6ED57D28FF728B064A15F7A632E26FFF8DAAA8546CF45BC357CFB9A2CF29F76942EAD7A0E14CF20F1BD2s2t2N" TargetMode="External"/><Relationship Id="rId5" Type="http://schemas.openxmlformats.org/officeDocument/2006/relationships/hyperlink" Target="consultantplus://offline/ref=557BF20389655B042A9028C84D2C6ED57A2EFC7388074A15F7A632E26FFF8DAAA8546CF45BC357CDBEA2CF29F76942EAD7A0E14CF20F1BD2s2t2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57BF20389655B042A9028C84D2C6ED57D28FF728B064A15F7A632E26FFF8DAAA8546CF45BC357CEB3A2CF29F76942EAD7A0E14CF20F1BD2s2t2N" TargetMode="External"/><Relationship Id="rId4" Type="http://schemas.openxmlformats.org/officeDocument/2006/relationships/hyperlink" Target="consultantplus://offline/ref=557BF20389655B042A9028C84D2C6ED57D26F577880E4A15F7A632E26FFF8DAAA8546CF05ACB5C98EAEDCE75B33D51EAD5A0E34FEEs0tFN" TargetMode="External"/><Relationship Id="rId9" Type="http://schemas.openxmlformats.org/officeDocument/2006/relationships/hyperlink" Target="consultantplus://offline/ref=557BF20389655B042A9028C84D2C6ED57D28FF728B064A15F7A632E26FFF8DAAA8546CF45BC357CDB8A2CF29F76942EAD7A0E14CF20F1BD2s2t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Пенсионный фонд</dc:creator>
  <cp:keywords/>
  <dc:description/>
  <cp:lastModifiedBy>Пенсионный фонд</cp:lastModifiedBy>
  <cp:revision>2</cp:revision>
  <dcterms:created xsi:type="dcterms:W3CDTF">2022-03-01T13:45:00Z</dcterms:created>
  <dcterms:modified xsi:type="dcterms:W3CDTF">2022-03-01T13:45:00Z</dcterms:modified>
</cp:coreProperties>
</file>